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DA" w:rsidRDefault="004121DA" w:rsidP="004121DA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395DDD" w:rsidRDefault="00395DDD" w:rsidP="004121DA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</w:p>
    <w:tbl>
      <w:tblPr>
        <w:tblW w:w="5002" w:type="pct"/>
        <w:tblInd w:w="-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793"/>
        <w:gridCol w:w="2433"/>
        <w:gridCol w:w="3002"/>
      </w:tblGrid>
      <w:tr w:rsidR="004121DA" w:rsidRPr="00685B59" w:rsidTr="009C5143">
        <w:trPr>
          <w:trHeight w:val="333"/>
        </w:trPr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ЭМИТЕНТА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Полное: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АО «Ташкентский механический завод»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Сокращенное: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АО «ТМЗ»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биржевого</w:t>
            </w:r>
            <w:proofErr w:type="gramEnd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тикера</w:t>
            </w:r>
            <w:proofErr w:type="spellEnd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5" w:history="1">
              <w:r w:rsidRPr="00685B59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1DA" w:rsidRPr="00685B59" w:rsidTr="009C5143">
        <w:trPr>
          <w:trHeight w:val="304"/>
        </w:trPr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КОНТАКТНЫЕ ДАННЫЕ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ашкент</w:t>
            </w:r>
            <w:proofErr w:type="spellEnd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ашкент</w:t>
            </w:r>
            <w:proofErr w:type="spellEnd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  <w:hyperlink r:id="rId6" w:history="1">
              <w:r w:rsidRPr="00685B59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val="en-US" w:eastAsia="ru-RU"/>
              </w:rPr>
              <w:t>admin@tmz.uz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Официальный веб-сайт:</w:t>
            </w:r>
            <w:hyperlink r:id="rId7" w:history="1">
              <w:r w:rsidRPr="00685B59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val="en-US" w:eastAsia="ru-RU"/>
              </w:rPr>
              <w:t>tmz.uz</w:t>
            </w:r>
          </w:p>
        </w:tc>
      </w:tr>
      <w:tr w:rsidR="004121DA" w:rsidRPr="00685B59" w:rsidTr="009C5143">
        <w:trPr>
          <w:trHeight w:val="319"/>
        </w:trPr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СУЩЕСТВЕННОМ ФАКТЕ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Номер существенного факта: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>Наименование существенного факта: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доходов по ценным бумагам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эмитента, принявший решение: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lang w:eastAsia="ru-RU"/>
              </w:rPr>
              <w:t xml:space="preserve">Годовое общее собрание акционеров 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решения: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47764C" w:rsidRDefault="00456AA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27.06.2023</w:t>
            </w:r>
            <w:r w:rsidR="00395DD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1DA" w:rsidRPr="00395DDD" w:rsidRDefault="00395DDD" w:rsidP="0087214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21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.07.2023г.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456AAA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AAA">
              <w:rPr>
                <w:rFonts w:ascii="Times New Roman" w:eastAsia="Times New Roman" w:hAnsi="Times New Roman" w:cs="Times New Roman"/>
                <w:lang w:eastAsia="ru-RU"/>
              </w:rPr>
              <w:t>Начисление дивидендов по простым акциям</w:t>
            </w:r>
            <w:hyperlink r:id="rId8" w:history="1">
              <w:r w:rsidRPr="00456AAA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456AAA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AAA">
              <w:rPr>
                <w:rFonts w:ascii="Times New Roman" w:eastAsia="Times New Roman" w:hAnsi="Times New Roman" w:cs="Times New Roman"/>
                <w:lang w:eastAsia="ru-RU"/>
              </w:rPr>
              <w:t>в сумах на одну акцию: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456AAA" w:rsidRDefault="004121DA" w:rsidP="00456AA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6A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6AAA" w:rsidRPr="00456AAA">
              <w:rPr>
                <w:rFonts w:ascii="Times New Roman" w:eastAsia="Times New Roman" w:hAnsi="Times New Roman" w:cs="Times New Roman"/>
                <w:lang w:eastAsia="ru-RU"/>
              </w:rPr>
              <w:t>159,28</w:t>
            </w:r>
            <w:r w:rsidRPr="00456A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456AAA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AAA">
              <w:rPr>
                <w:rFonts w:ascii="Times New Roman" w:eastAsia="Times New Roman" w:hAnsi="Times New Roman" w:cs="Times New Roman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456AAA" w:rsidRDefault="00456AAA" w:rsidP="00456AA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AAA">
              <w:rPr>
                <w:rFonts w:ascii="Times New Roman" w:eastAsia="Times New Roman" w:hAnsi="Times New Roman" w:cs="Times New Roman"/>
                <w:lang w:eastAsia="ru-RU"/>
              </w:rPr>
              <w:t xml:space="preserve"> 3,98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21DA" w:rsidRPr="00456AA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121DA" w:rsidRPr="00685B59" w:rsidTr="009C5143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5DDD" w:rsidRDefault="00395DDD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5DDD" w:rsidRDefault="00395DDD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5DDD" w:rsidRDefault="00395DDD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5DDD" w:rsidRDefault="00395DDD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21DA" w:rsidRPr="00685B59" w:rsidRDefault="00395DDD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395DDD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121DA" w:rsidRPr="00395DDD" w:rsidRDefault="004121DA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21DA" w:rsidRPr="00395DDD" w:rsidRDefault="004121DA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395DDD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DDD">
              <w:rPr>
                <w:rFonts w:ascii="Times New Roman" w:eastAsia="Times New Roman" w:hAnsi="Times New Roman" w:cs="Times New Roman"/>
                <w:lang w:eastAsia="ru-RU"/>
              </w:rPr>
              <w:t>по простым акциям: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395DDD" w:rsidRDefault="00395DDD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5DDD">
              <w:rPr>
                <w:rFonts w:ascii="Times New Roman" w:eastAsia="Times New Roman" w:hAnsi="Times New Roman" w:cs="Times New Roman"/>
                <w:lang w:eastAsia="ru-RU"/>
              </w:rPr>
              <w:t>27.06.2023г.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395DDD" w:rsidRDefault="009C5143" w:rsidP="00F0716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395DDD" w:rsidRPr="00395DDD">
              <w:rPr>
                <w:rFonts w:ascii="Times New Roman" w:eastAsia="Times New Roman" w:hAnsi="Times New Roman" w:cs="Times New Roman"/>
                <w:lang w:eastAsia="ru-RU"/>
              </w:rPr>
              <w:t>.08.2023г.</w:t>
            </w:r>
          </w:p>
        </w:tc>
      </w:tr>
      <w:tr w:rsidR="004121DA" w:rsidRPr="00685B59" w:rsidTr="009C5143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21DA" w:rsidRPr="00685B59" w:rsidRDefault="004121DA" w:rsidP="00F0716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685B59" w:rsidRDefault="004121DA" w:rsidP="00F07160">
            <w:pPr>
              <w:pStyle w:val="a3"/>
              <w:tabs>
                <w:tab w:val="left" w:pos="993"/>
                <w:tab w:val="left" w:pos="1276"/>
              </w:tabs>
              <w:spacing w:before="40" w:after="0" w:line="240" w:lineRule="auto"/>
              <w:ind w:left="0" w:right="3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Перечисление дивидендов будет производиться в течени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60 дней со дня проведения годового общего собрания акционеров, акционерам юридическим лицам путём перечисления на расчётный счёт, акционерам физическим лицам в безналичной форме путём перечисления на пластиковую карту в соответствии с заявлением.</w:t>
            </w:r>
          </w:p>
        </w:tc>
      </w:tr>
    </w:tbl>
    <w:p w:rsidR="004121DA" w:rsidRDefault="004121DA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395DDD" w:rsidRDefault="00395DDD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z-Cyrl-UZ" w:eastAsia="ru-RU"/>
        </w:rPr>
      </w:pPr>
    </w:p>
    <w:p w:rsidR="00131D87" w:rsidRDefault="00131D87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z-Cyrl-UZ" w:eastAsia="ru-RU"/>
        </w:rPr>
      </w:pPr>
    </w:p>
    <w:p w:rsidR="00131D87" w:rsidRDefault="00131D87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z-Cyrl-UZ" w:eastAsia="ru-RU"/>
        </w:rPr>
      </w:pPr>
    </w:p>
    <w:p w:rsidR="00131D87" w:rsidRDefault="00131D87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z-Cyrl-UZ" w:eastAsia="ru-RU"/>
        </w:rPr>
      </w:pPr>
    </w:p>
    <w:p w:rsidR="00131D87" w:rsidRDefault="00131D87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z-Cyrl-UZ" w:eastAsia="ru-RU"/>
        </w:rPr>
      </w:pPr>
    </w:p>
    <w:p w:rsidR="00131D87" w:rsidRDefault="00131D87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z-Cyrl-UZ" w:eastAsia="ru-RU"/>
        </w:rPr>
      </w:pPr>
    </w:p>
    <w:p w:rsidR="00131D87" w:rsidRDefault="00131D87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z-Cyrl-UZ" w:eastAsia="ru-RU"/>
        </w:rPr>
      </w:pPr>
    </w:p>
    <w:p w:rsidR="00131D87" w:rsidRDefault="00131D87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z-Cyrl-UZ" w:eastAsia="ru-RU"/>
        </w:rPr>
      </w:pPr>
    </w:p>
    <w:p w:rsidR="00131D87" w:rsidRDefault="00131D87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z-Cyrl-UZ" w:eastAsia="ru-RU"/>
        </w:rPr>
      </w:pPr>
    </w:p>
    <w:p w:rsidR="00131D87" w:rsidRPr="00131D87" w:rsidRDefault="00131D87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395DDD" w:rsidRDefault="00395DDD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395DDD" w:rsidRDefault="00395DDD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395DDD" w:rsidRDefault="00395DDD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9C5143" w:rsidRDefault="009C5143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9C5143" w:rsidRDefault="009C5143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9C5143" w:rsidRDefault="009C5143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9C5143" w:rsidRDefault="009C5143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9C5143" w:rsidRDefault="009C5143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9C5143" w:rsidRDefault="009C5143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9C5143" w:rsidRDefault="009C5143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395DDD" w:rsidRDefault="00395DDD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p w:rsidR="00395DDD" w:rsidRPr="0047764C" w:rsidRDefault="00395DDD" w:rsidP="0041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val="uz-Cyrl-UZ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5778"/>
        <w:gridCol w:w="1694"/>
        <w:gridCol w:w="1689"/>
      </w:tblGrid>
      <w:tr w:rsidR="004121DA" w:rsidRPr="008559B1" w:rsidTr="00F07160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2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EMITENTNING NOMI</w:t>
            </w:r>
          </w:p>
        </w:tc>
      </w:tr>
      <w:tr w:rsidR="004121DA" w:rsidRPr="00131D87" w:rsidTr="00395DDD">
        <w:trPr>
          <w:trHeight w:val="5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39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To‘liq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39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Toshkent mexanika zavodi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”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Aksiyadorlik jamiyati</w:t>
            </w:r>
          </w:p>
        </w:tc>
      </w:tr>
      <w:tr w:rsidR="004121DA" w:rsidRPr="008559B1" w:rsidTr="00395DDD">
        <w:trPr>
          <w:trHeight w:val="3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Qisqartirilgan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39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TMZ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”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AJ</w:t>
            </w:r>
          </w:p>
        </w:tc>
      </w:tr>
      <w:tr w:rsidR="004121DA" w:rsidRPr="008559B1" w:rsidTr="00F0716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Birja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tikerining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nomi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9" w:history="1">
              <w:r w:rsidRPr="008559B1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F07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DA" w:rsidRPr="008559B1" w:rsidTr="00F07160">
        <w:tc>
          <w:tcPr>
            <w:tcW w:w="12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2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ALOQA MA’LUMOTLARI</w:t>
            </w:r>
          </w:p>
        </w:tc>
      </w:tr>
      <w:tr w:rsidR="004121DA" w:rsidRPr="00131D87" w:rsidTr="00395DDD">
        <w:trPr>
          <w:trHeight w:val="4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Joylashgan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39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100016, Toshkent sh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Elbek ko‘chasi 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61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uy</w:t>
            </w:r>
          </w:p>
        </w:tc>
      </w:tr>
      <w:tr w:rsidR="004121DA" w:rsidRPr="00131D87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Pochta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manzili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39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100016, Toshkent sh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Elbek ko‘chasi 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61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uy</w:t>
            </w:r>
          </w:p>
        </w:tc>
      </w:tr>
      <w:tr w:rsidR="004121DA" w:rsidRPr="008559B1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Elektron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pochta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manzili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10" w:history="1">
              <w:r w:rsidRPr="008559B1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39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dmin@tmz.uz</w:t>
            </w:r>
          </w:p>
        </w:tc>
      </w:tr>
      <w:tr w:rsidR="004121DA" w:rsidRPr="008559B1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Rasmiy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veb-sayti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11" w:history="1">
              <w:r w:rsidRPr="008559B1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39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9B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tmz.uz</w:t>
            </w:r>
          </w:p>
        </w:tc>
      </w:tr>
      <w:tr w:rsidR="004121DA" w:rsidRPr="00131D87" w:rsidTr="00F07160">
        <w:tc>
          <w:tcPr>
            <w:tcW w:w="12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2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MUHIM FAKT TO‘G‘RISIDA AXBOROT</w:t>
            </w:r>
          </w:p>
        </w:tc>
      </w:tr>
      <w:tr w:rsidR="004121DA" w:rsidRPr="008559B1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Muhim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faktning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raqami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121DA" w:rsidRPr="00131D87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Muhim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faktning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Qimmatli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qog‘ozlar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bo‘yicha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daromadlarni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hisoblash</w:t>
            </w:r>
            <w:proofErr w:type="spellEnd"/>
          </w:p>
        </w:tc>
      </w:tr>
      <w:tr w:rsidR="004121DA" w:rsidRPr="00131D87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Emitentning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qaror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qabul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qilgan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F07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85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Aksiyadorlarning</w:t>
            </w:r>
            <w:proofErr w:type="spellEnd"/>
            <w:r w:rsidRPr="0085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yillik</w:t>
            </w:r>
            <w:proofErr w:type="spellEnd"/>
            <w:r w:rsidRPr="0085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85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yig‘ilish</w:t>
            </w:r>
            <w:proofErr w:type="spellEnd"/>
            <w:r w:rsidRPr="0085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121DA" w:rsidRPr="008559B1" w:rsidTr="00395DDD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Qaror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qabul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qilingan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F07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202</w:t>
            </w:r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27-06</w:t>
            </w:r>
          </w:p>
        </w:tc>
      </w:tr>
      <w:tr w:rsidR="004121DA" w:rsidRPr="00456AAA" w:rsidTr="00395DDD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Emitent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majlisi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yig‘ilishi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bayonnomasi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tuzilgan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395DDD" w:rsidRDefault="00395DDD" w:rsidP="0087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</w:t>
            </w:r>
            <w:r w:rsidR="0087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</w:tr>
      <w:tr w:rsidR="004121DA" w:rsidRPr="00131D87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72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Oddiy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aksiyalar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bo‘yicha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dividendlarni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hisoblash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"javascript:scrollText(-2481142)" </w:instrText>
            </w:r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559B1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val="en-US" w:eastAsia="ru-RU"/>
              </w:rPr>
              <w:t>*</w:t>
            </w:r>
            <w:r w:rsidRPr="008559B1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95DDD" w:rsidRPr="00456AAA" w:rsidTr="00395DDD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DDD" w:rsidRPr="008559B1" w:rsidRDefault="00395DDD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5DDD" w:rsidRPr="008559B1" w:rsidRDefault="00395DDD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aksiyaga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so‘mda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5DDD" w:rsidRPr="00456AAA" w:rsidRDefault="00395DDD" w:rsidP="008B5B1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21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6AAA">
              <w:rPr>
                <w:rFonts w:ascii="Times New Roman" w:eastAsia="Times New Roman" w:hAnsi="Times New Roman" w:cs="Times New Roman"/>
                <w:lang w:eastAsia="ru-RU"/>
              </w:rPr>
              <w:t>159,28</w:t>
            </w:r>
            <w:r w:rsidRPr="00456A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</w:t>
            </w:r>
          </w:p>
        </w:tc>
      </w:tr>
      <w:tr w:rsidR="00395DDD" w:rsidRPr="00456AAA" w:rsidTr="00395DDD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DDD" w:rsidRPr="008559B1" w:rsidRDefault="00395DDD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5DDD" w:rsidRPr="008559B1" w:rsidRDefault="00395DDD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aksiyaning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nominal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qiymatiga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(%da):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5DDD" w:rsidRPr="00456AAA" w:rsidRDefault="00395DDD" w:rsidP="008B5B1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6AAA">
              <w:rPr>
                <w:rFonts w:ascii="Times New Roman" w:eastAsia="Times New Roman" w:hAnsi="Times New Roman" w:cs="Times New Roman"/>
                <w:lang w:eastAsia="ru-RU"/>
              </w:rPr>
              <w:t>3,98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AA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121DA" w:rsidRPr="008559B1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Qimmatli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qog‘ozlar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bo‘yicha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daromadlarni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to‘lashni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boshlash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tugash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sanasi</w:t>
            </w:r>
            <w:proofErr w:type="spellEnd"/>
          </w:p>
        </w:tc>
        <w:tc>
          <w:tcPr>
            <w:tcW w:w="9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Boshlash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sanasi</w:t>
            </w:r>
            <w:proofErr w:type="spellEnd"/>
          </w:p>
        </w:tc>
        <w:tc>
          <w:tcPr>
            <w:tcW w:w="8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Tugash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sanasi</w:t>
            </w:r>
            <w:proofErr w:type="spellEnd"/>
          </w:p>
        </w:tc>
      </w:tr>
      <w:tr w:rsidR="004121DA" w:rsidRPr="008559B1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oddiy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aksiyalar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bo‘yicha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2023-27-06</w:t>
            </w:r>
          </w:p>
        </w:tc>
        <w:tc>
          <w:tcPr>
            <w:tcW w:w="8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9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</w:t>
            </w:r>
            <w:r w:rsidR="009C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</w:tr>
      <w:tr w:rsidR="004121DA" w:rsidRPr="008559B1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imtiyozli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aksiyalar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bo‘yicha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1DA" w:rsidRPr="00131D87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boshqa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qimmatli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qog‘ozlar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bo‘yicha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21DA" w:rsidRPr="00131D87" w:rsidTr="00F0716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1DA" w:rsidRPr="008559B1" w:rsidRDefault="004121DA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Qimmatli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qog‘ozlar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bo‘yicha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hisoblangan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daromadni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to‘lash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shakli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pul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mablag‘lari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boshqa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mol-mulk</w:t>
            </w:r>
            <w:proofErr w:type="spellEnd"/>
            <w:r w:rsidRPr="00855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):</w:t>
            </w:r>
          </w:p>
        </w:tc>
        <w:tc>
          <w:tcPr>
            <w:tcW w:w="17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121DA" w:rsidRPr="00972864" w:rsidRDefault="004121DA" w:rsidP="0039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Dividend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toʻlash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aksiyadorlarning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yillik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yigʻilishi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oʻtkazilgan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kundan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e’tiboran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 kun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ichida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yuridik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shaxslarning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hisob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raqamiga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shaxslarning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oʻz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arizalariga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binoan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plastik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kartalariga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naqdsiz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pul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koʻrinishida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pul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oʻtkazish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yoʻli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orqali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amalga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oshiriladi</w:t>
            </w:r>
            <w:proofErr w:type="spellEnd"/>
            <w:r w:rsidRPr="009728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121DA" w:rsidRPr="0087214D" w:rsidRDefault="004121DA" w:rsidP="0041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395DDD" w:rsidRPr="0087214D" w:rsidRDefault="00395DDD" w:rsidP="0041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</w:pPr>
    </w:p>
    <w:sectPr w:rsidR="00395DDD" w:rsidRPr="0087214D" w:rsidSect="005609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4F"/>
    <w:rsid w:val="000F7A79"/>
    <w:rsid w:val="00131D87"/>
    <w:rsid w:val="002806CD"/>
    <w:rsid w:val="0032604F"/>
    <w:rsid w:val="0037389A"/>
    <w:rsid w:val="00395DDD"/>
    <w:rsid w:val="004121DA"/>
    <w:rsid w:val="00456AAA"/>
    <w:rsid w:val="0047764C"/>
    <w:rsid w:val="005609B1"/>
    <w:rsid w:val="00685B59"/>
    <w:rsid w:val="008559B1"/>
    <w:rsid w:val="0087214D"/>
    <w:rsid w:val="00972864"/>
    <w:rsid w:val="009C5143"/>
    <w:rsid w:val="00D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38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389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38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389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248207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207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2070)" TargetMode="External"/><Relationship Id="rId11" Type="http://schemas.openxmlformats.org/officeDocument/2006/relationships/hyperlink" Target="javascript:scrollText(-2481142)" TargetMode="External"/><Relationship Id="rId5" Type="http://schemas.openxmlformats.org/officeDocument/2006/relationships/hyperlink" Target="javascript:scrollText(2482070)" TargetMode="External"/><Relationship Id="rId10" Type="http://schemas.openxmlformats.org/officeDocument/2006/relationships/hyperlink" Target="javascript:scrollText(-248114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-248114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Ленара</cp:lastModifiedBy>
  <cp:revision>11</cp:revision>
  <cp:lastPrinted>2023-07-10T06:08:00Z</cp:lastPrinted>
  <dcterms:created xsi:type="dcterms:W3CDTF">2021-07-07T12:13:00Z</dcterms:created>
  <dcterms:modified xsi:type="dcterms:W3CDTF">2023-07-10T11:26:00Z</dcterms:modified>
</cp:coreProperties>
</file>